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65BD" w14:textId="1ED0F6A1" w:rsidR="005B61F4" w:rsidRPr="002C1FA2" w:rsidRDefault="55514EF2" w:rsidP="00C15C8D">
      <w:pPr>
        <w:spacing w:after="0" w:line="240" w:lineRule="auto"/>
        <w:rPr>
          <w:rFonts w:ascii="Poppins" w:hAnsi="Poppins" w:cs="Poppins"/>
          <w:i/>
          <w:iCs/>
          <w:sz w:val="22"/>
          <w:szCs w:val="22"/>
        </w:rPr>
      </w:pPr>
      <w:r>
        <w:rPr>
          <w:rFonts w:ascii="Poppins" w:hAnsi="Poppins"/>
          <w:i/>
          <w:sz w:val="22"/>
        </w:rPr>
        <w:t>Tłumaczenie strony tytułowej formularza dla nowych uczestników grupy Brownies.</w:t>
      </w:r>
    </w:p>
    <w:p w14:paraId="70EF0281" w14:textId="03512E53" w:rsidR="005B61F4" w:rsidRPr="00C15C8D" w:rsidRDefault="005B61F4" w:rsidP="00C15C8D">
      <w:pPr>
        <w:spacing w:after="0" w:line="240" w:lineRule="auto"/>
        <w:rPr>
          <w:rFonts w:ascii="Poppins" w:hAnsi="Poppins" w:cs="Poppins"/>
          <w:sz w:val="22"/>
          <w:szCs w:val="22"/>
        </w:rPr>
      </w:pPr>
    </w:p>
    <w:p w14:paraId="28136253" w14:textId="510EB96C" w:rsidR="005B61F4" w:rsidRPr="00C15C8D" w:rsidRDefault="55514EF2" w:rsidP="00C15C8D">
      <w:pPr>
        <w:spacing w:after="0" w:line="240" w:lineRule="auto"/>
        <w:rPr>
          <w:rFonts w:ascii="Poppins" w:hAnsi="Poppins" w:cs="Poppins"/>
          <w:sz w:val="22"/>
          <w:szCs w:val="22"/>
        </w:rPr>
      </w:pPr>
      <w:r>
        <w:rPr>
          <w:rFonts w:ascii="Poppins" w:hAnsi="Poppins"/>
          <w:b/>
          <w:sz w:val="22"/>
        </w:rPr>
        <w:t>Formularz dla nowych uczestników wypełniają rodzice/opiekunowie nowych członków grupy Brownies.</w:t>
      </w:r>
    </w:p>
    <w:p w14:paraId="5E5787A5" w14:textId="24B68A6F" w:rsidR="005B61F4" w:rsidRPr="00C15C8D" w:rsidRDefault="00B46837" w:rsidP="00C15C8D">
      <w:pPr>
        <w:spacing w:after="0" w:line="240" w:lineRule="auto"/>
        <w:rPr>
          <w:rFonts w:ascii="Poppins" w:hAnsi="Poppins" w:cs="Poppins"/>
          <w:w w:val="125"/>
          <w:sz w:val="22"/>
          <w:szCs w:val="22"/>
        </w:rPr>
      </w:pPr>
      <w:r>
        <w:rPr>
          <w:rFonts w:ascii="Poppins" w:hAnsi="Poppins"/>
          <w:sz w:val="22"/>
        </w:rPr>
        <w:t>Brownies zaprasza wszystkie dziewczynki w wieku od 7 do 10 lat na nieustanną zabawę, naukę i przygodę.</w:t>
      </w:r>
    </w:p>
    <w:p w14:paraId="17B147D5" w14:textId="77777777" w:rsidR="00051E3B" w:rsidRDefault="00051E3B" w:rsidP="00C15C8D">
      <w:pPr>
        <w:spacing w:after="0" w:line="240" w:lineRule="auto"/>
        <w:rPr>
          <w:rFonts w:ascii="Poppins" w:hAnsi="Poppins" w:cs="Poppins"/>
          <w:b/>
          <w:bCs/>
          <w:sz w:val="22"/>
          <w:szCs w:val="22"/>
        </w:rPr>
      </w:pPr>
    </w:p>
    <w:p w14:paraId="1659449F" w14:textId="6B9A40B5" w:rsidR="00E1031B" w:rsidRPr="00C15C8D" w:rsidRDefault="00E1031B" w:rsidP="00C15C8D">
      <w:pPr>
        <w:spacing w:after="0" w:line="240" w:lineRule="auto"/>
        <w:rPr>
          <w:rFonts w:ascii="Poppins" w:hAnsi="Poppins" w:cs="Poppins"/>
          <w:b/>
          <w:bCs/>
          <w:sz w:val="22"/>
          <w:szCs w:val="22"/>
        </w:rPr>
      </w:pPr>
      <w:r>
        <w:rPr>
          <w:rFonts w:ascii="Poppins" w:hAnsi="Poppins"/>
          <w:b/>
          <w:sz w:val="22"/>
        </w:rPr>
        <w:t>Czego potrzebują członkowie grupy Brownies?</w:t>
      </w:r>
    </w:p>
    <w:p w14:paraId="79AA54B6" w14:textId="43791059" w:rsidR="00E1031B" w:rsidRPr="00C15C8D" w:rsidRDefault="00F55F52" w:rsidP="00C15C8D">
      <w:pPr>
        <w:spacing w:after="0" w:line="240" w:lineRule="auto"/>
        <w:rPr>
          <w:rFonts w:ascii="Poppins" w:hAnsi="Poppins" w:cs="Poppins"/>
          <w:sz w:val="22"/>
          <w:szCs w:val="22"/>
        </w:rPr>
      </w:pPr>
      <w:r>
        <w:rPr>
          <w:rFonts w:ascii="Poppins" w:hAnsi="Poppins"/>
          <w:sz w:val="22"/>
        </w:rPr>
        <w:t>Zainteresowani nie potrzebują niczego szczególnego, aby dołączyć do Brownies – wystarczy wygodne, praktyczne ubranie i buty (pomyśl o czymś odpowiednim do zabawy i aktywności). W pierwszych tygodniach, kiedy Twoje dziecko już się zaaklimatyzuje, liderka Brownies porozmawia z Tobą, aby omówić różne kwestie, np. związane z mundurkiem.</w:t>
      </w:r>
    </w:p>
    <w:p w14:paraId="1680CFDE" w14:textId="33D296D3" w:rsidR="00E1031B" w:rsidRPr="00C15C8D" w:rsidRDefault="00E1031B" w:rsidP="00C15C8D">
      <w:pPr>
        <w:spacing w:after="0" w:line="240" w:lineRule="auto"/>
        <w:rPr>
          <w:rFonts w:ascii="Poppins" w:hAnsi="Poppins" w:cs="Poppins"/>
          <w:sz w:val="22"/>
          <w:szCs w:val="22"/>
        </w:rPr>
      </w:pPr>
      <w:r>
        <w:rPr>
          <w:rFonts w:ascii="Poppins" w:hAnsi="Poppins"/>
          <w:sz w:val="22"/>
        </w:rPr>
        <w:t>Girlguiding zapewnia wszystko, co będzie potrzebne – wygodny mundurek Brownies, podręcznik Brownies (który przedstawia dziecku, na czym polega bycie Brownie) oraz różne akcesoria i materiały, które pomogą jej poczuć się „jak u siebie”.</w:t>
      </w:r>
    </w:p>
    <w:p w14:paraId="272009CD" w14:textId="77777777" w:rsidR="00B66253" w:rsidRPr="00C15C8D" w:rsidRDefault="00B66253" w:rsidP="00C15C8D">
      <w:pPr>
        <w:spacing w:after="0" w:line="240" w:lineRule="auto"/>
        <w:rPr>
          <w:rFonts w:ascii="Poppins" w:hAnsi="Poppins" w:cs="Poppins"/>
          <w:b/>
          <w:bCs/>
          <w:sz w:val="22"/>
          <w:szCs w:val="22"/>
        </w:rPr>
      </w:pPr>
    </w:p>
    <w:p w14:paraId="0C2F9809" w14:textId="46245497" w:rsidR="00B66253" w:rsidRPr="00C15C8D" w:rsidRDefault="00B66253" w:rsidP="00C15C8D">
      <w:pPr>
        <w:spacing w:after="0" w:line="240" w:lineRule="auto"/>
        <w:rPr>
          <w:rFonts w:ascii="Poppins" w:hAnsi="Poppins" w:cs="Poppins"/>
          <w:sz w:val="22"/>
          <w:szCs w:val="22"/>
        </w:rPr>
      </w:pPr>
      <w:r>
        <w:rPr>
          <w:rFonts w:ascii="Poppins" w:hAnsi="Poppins"/>
          <w:b/>
          <w:sz w:val="22"/>
        </w:rPr>
        <w:t>Ile kosztuje członkostwo w grupie Brownie?</w:t>
      </w:r>
    </w:p>
    <w:p w14:paraId="18E84D71" w14:textId="77777777" w:rsidR="00B66253" w:rsidRPr="00C15C8D" w:rsidRDefault="00B66253" w:rsidP="00C15C8D">
      <w:pPr>
        <w:spacing w:after="0" w:line="240" w:lineRule="auto"/>
        <w:rPr>
          <w:rFonts w:ascii="Poppins" w:hAnsi="Poppins" w:cs="Poppins"/>
          <w:sz w:val="22"/>
          <w:szCs w:val="22"/>
        </w:rPr>
      </w:pPr>
      <w:r>
        <w:rPr>
          <w:rFonts w:ascii="Poppins" w:hAnsi="Poppins"/>
          <w:sz w:val="22"/>
        </w:rPr>
        <w:t>Wszystkie grupy bądź „jednostki” Girlguiding pobierają składki lub tzw. subs, które pokrywają koszty działalności jednostki. Mogą być opłacane tygodniowo, miesięcznie lub za każdy semestr. Istnieje również roczna składka członkowska, która pokrywa koszty bieżącej działalności naszej organizacji oraz lokalnych organizacji skautowej. Czasami jest ona wliczona w subs (składki).</w:t>
      </w:r>
    </w:p>
    <w:p w14:paraId="102D7451" w14:textId="77777777" w:rsidR="00051E3B" w:rsidRDefault="00051E3B" w:rsidP="00C15C8D">
      <w:pPr>
        <w:spacing w:after="0" w:line="240" w:lineRule="auto"/>
        <w:rPr>
          <w:rFonts w:ascii="Poppins" w:hAnsi="Poppins" w:cs="Poppins"/>
          <w:sz w:val="22"/>
          <w:szCs w:val="22"/>
        </w:rPr>
      </w:pPr>
    </w:p>
    <w:p w14:paraId="22EF960F" w14:textId="071D7566" w:rsidR="00B66253" w:rsidRPr="00C15C8D" w:rsidRDefault="00B66253" w:rsidP="00C15C8D">
      <w:pPr>
        <w:spacing w:after="0" w:line="240" w:lineRule="auto"/>
        <w:rPr>
          <w:rFonts w:ascii="Poppins" w:hAnsi="Poppins" w:cs="Poppins"/>
          <w:sz w:val="22"/>
          <w:szCs w:val="22"/>
        </w:rPr>
      </w:pPr>
      <w:r>
        <w:rPr>
          <w:rFonts w:ascii="Poppins" w:hAnsi="Poppins"/>
          <w:sz w:val="22"/>
        </w:rPr>
        <w:t>Wszystkie jednostki Girlguiding są inne, zatem koszty mogą się od siebie różnić. Liderka grupy Brownie przekaże Ci informacje dotyczące kosztów i terminów płatności. Za specjalne aktywności, wyjścia, wydarzenia z noclegami oraz ferie zwykle pobierane są dodatkowe opłaty. Liderka jednostki Brownie przekaże potrzebne informacje odpowiednio z wyprzedzeniem.</w:t>
      </w:r>
    </w:p>
    <w:p w14:paraId="73DCA41A" w14:textId="77777777" w:rsidR="00051E3B" w:rsidRDefault="00051E3B" w:rsidP="00C15C8D">
      <w:pPr>
        <w:spacing w:after="0" w:line="240" w:lineRule="auto"/>
        <w:rPr>
          <w:rFonts w:ascii="Poppins" w:hAnsi="Poppins" w:cs="Poppins"/>
          <w:sz w:val="22"/>
          <w:szCs w:val="22"/>
        </w:rPr>
      </w:pPr>
    </w:p>
    <w:p w14:paraId="5C5C8527" w14:textId="3AD40BFC" w:rsidR="00B66253" w:rsidRPr="00C15C8D" w:rsidRDefault="00B66253" w:rsidP="00C15C8D">
      <w:pPr>
        <w:spacing w:after="0" w:line="240" w:lineRule="auto"/>
        <w:rPr>
          <w:rFonts w:ascii="Poppins" w:hAnsi="Poppins" w:cs="Poppins"/>
          <w:sz w:val="22"/>
          <w:szCs w:val="22"/>
        </w:rPr>
      </w:pPr>
      <w:r>
        <w:rPr>
          <w:rFonts w:ascii="Poppins" w:hAnsi="Poppins"/>
          <w:sz w:val="22"/>
        </w:rPr>
        <w:t>Dążymy do tego, aby udział był dostępny finansowo dla każdej dziewczynki i oferujemy wsparcie, jeśli nie jesteś w stanie pokryć kosztów. Jeżeli martwisz się kosztami, porozmawiaj z liderką jednostki, która poinformuje Cię o możliwościach wsparcia, w tym o dostępnych dofinansowaniach.</w:t>
      </w:r>
    </w:p>
    <w:p w14:paraId="646D22DA" w14:textId="77777777" w:rsidR="00B66253" w:rsidRPr="00C15C8D" w:rsidRDefault="00B66253" w:rsidP="00C15C8D">
      <w:pPr>
        <w:spacing w:after="0" w:line="240" w:lineRule="auto"/>
        <w:rPr>
          <w:rFonts w:ascii="Poppins" w:hAnsi="Poppins" w:cs="Poppins"/>
          <w:sz w:val="22"/>
          <w:szCs w:val="22"/>
        </w:rPr>
      </w:pPr>
    </w:p>
    <w:p w14:paraId="49DEDE6F" w14:textId="77777777" w:rsidR="00B66253" w:rsidRPr="00C15C8D" w:rsidRDefault="00B66253" w:rsidP="00C15C8D">
      <w:pPr>
        <w:spacing w:after="0" w:line="240" w:lineRule="auto"/>
        <w:rPr>
          <w:rFonts w:ascii="Poppins" w:hAnsi="Poppins" w:cs="Poppins"/>
          <w:b/>
          <w:bCs/>
          <w:sz w:val="22"/>
          <w:szCs w:val="22"/>
        </w:rPr>
      </w:pPr>
      <w:r>
        <w:rPr>
          <w:rFonts w:ascii="Poppins" w:hAnsi="Poppins"/>
          <w:b/>
          <w:sz w:val="22"/>
        </w:rPr>
        <w:t>Darowizny dla organizacji charytatywnych</w:t>
      </w:r>
    </w:p>
    <w:p w14:paraId="06082EFB" w14:textId="62C0811F" w:rsidR="00B66253" w:rsidRPr="00C15C8D" w:rsidRDefault="00B66253" w:rsidP="00C15C8D">
      <w:pPr>
        <w:spacing w:after="0" w:line="240" w:lineRule="auto"/>
        <w:rPr>
          <w:rFonts w:ascii="Poppins" w:hAnsi="Poppins" w:cs="Poppins"/>
          <w:sz w:val="22"/>
          <w:szCs w:val="22"/>
        </w:rPr>
      </w:pPr>
      <w:r>
        <w:rPr>
          <w:rFonts w:ascii="Poppins" w:hAnsi="Poppins"/>
          <w:sz w:val="22"/>
        </w:rPr>
        <w:t xml:space="preserve">Girlguiding jest organizacją charytatywną, dlatego jeśli płacisz podatek dochodowy, możemy skorzystać z ulgi podatkowej za darowizny (Gift Aid) i odzyskać od rządu dodatkowe 25 pensów za każdego funta, który nam przekazujesz, w tym ze składek </w:t>
      </w:r>
      <w:r>
        <w:rPr>
          <w:rFonts w:ascii="Poppins" w:hAnsi="Poppins"/>
          <w:sz w:val="22"/>
        </w:rPr>
        <w:lastRenderedPageBreak/>
        <w:t>Twojego dziecka. W związku z tym zachęcamy do podpisania formularza Gift Aid na stronie 7: dodatkowe środki wrócą bezpośrednio do jednostki Twojego dziecka.</w:t>
      </w:r>
    </w:p>
    <w:p w14:paraId="08B78618" w14:textId="77777777" w:rsidR="007816F9" w:rsidRPr="00C15C8D" w:rsidRDefault="007816F9" w:rsidP="00C15C8D">
      <w:pPr>
        <w:spacing w:after="0" w:line="240" w:lineRule="auto"/>
        <w:rPr>
          <w:rFonts w:ascii="Poppins" w:hAnsi="Poppins" w:cs="Poppins"/>
          <w:b/>
          <w:bCs/>
          <w:sz w:val="22"/>
          <w:szCs w:val="22"/>
        </w:rPr>
      </w:pPr>
    </w:p>
    <w:p w14:paraId="638929FD" w14:textId="7E82307E" w:rsidR="007816F9" w:rsidRPr="00C15C8D" w:rsidRDefault="007816F9" w:rsidP="00C15C8D">
      <w:pPr>
        <w:spacing w:after="0" w:line="240" w:lineRule="auto"/>
        <w:rPr>
          <w:rFonts w:ascii="Poppins" w:hAnsi="Poppins" w:cs="Poppins"/>
          <w:b/>
          <w:bCs/>
          <w:sz w:val="22"/>
          <w:szCs w:val="22"/>
        </w:rPr>
      </w:pPr>
      <w:r>
        <w:rPr>
          <w:rFonts w:ascii="Poppins" w:hAnsi="Poppins"/>
          <w:b/>
          <w:sz w:val="22"/>
        </w:rPr>
        <w:t>Co należy robić, aby wspierać Brownie oraz wolontariuszy w jednostce?</w:t>
      </w:r>
    </w:p>
    <w:p w14:paraId="201CBB8F" w14:textId="5C6AE145" w:rsidR="007816F9" w:rsidRPr="00C15C8D" w:rsidRDefault="007816F9" w:rsidP="00C15C8D">
      <w:pPr>
        <w:spacing w:after="0" w:line="240" w:lineRule="auto"/>
        <w:rPr>
          <w:rFonts w:ascii="Poppins" w:hAnsi="Poppins" w:cs="Poppins"/>
          <w:sz w:val="22"/>
          <w:szCs w:val="22"/>
        </w:rPr>
      </w:pPr>
      <w:r>
        <w:rPr>
          <w:rFonts w:ascii="Poppins" w:hAnsi="Poppins"/>
          <w:sz w:val="22"/>
        </w:rPr>
        <w:t>Wszystkie nasze jednostki są prowadzone przez wolontariuszy, którzy poświęcają swój czas, aby stworzyć środowisko wspierające rozwój młodych uczestników. Społeczność Girlguiding traktuje wszystkich z szacunkiem i godnością oraz docenia wsparcie rodziców/opiekunów, które pomaga w kształtowaniu pozytywnych postaw. Możesz pomóc, wspierając Brownie i wolontariuszy w jednostce, poprzez:</w:t>
      </w:r>
    </w:p>
    <w:p w14:paraId="09541EF7" w14:textId="0B50F9FA"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Zachęcanie Brownie do uczestnictwa i regularne przyprowadzanie jej na spotkania jednostki.</w:t>
      </w:r>
    </w:p>
    <w:p w14:paraId="7B349E2D"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Poinformowanie liderki jednostki z wyprzedzeniem, jeśli Twoje dziecko nie może uczestniczyć w spotkaniu.</w:t>
      </w:r>
    </w:p>
    <w:p w14:paraId="2CA52A3F" w14:textId="0DCD2BBE"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Aktualizowanie danych osobowych w systemie członkowskim (GO) i powiadamianie liderek o wszelkich zmianach. Zapewni to Brownie bezpieczeństwo.</w:t>
      </w:r>
    </w:p>
    <w:p w14:paraId="57527D24"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Pilnowanie informacji oraz szybki zwrot dokumentów (np. formularzy zgody).</w:t>
      </w:r>
    </w:p>
    <w:p w14:paraId="1297A825" w14:textId="77777777"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Terminowe dokonywanie płatności.</w:t>
      </w:r>
    </w:p>
    <w:p w14:paraId="5F1A53A7" w14:textId="4B286FA3" w:rsidR="007816F9" w:rsidRPr="00051E3B" w:rsidRDefault="007816F9" w:rsidP="00051E3B">
      <w:pPr>
        <w:pStyle w:val="ListParagraph"/>
        <w:numPr>
          <w:ilvl w:val="0"/>
          <w:numId w:val="5"/>
        </w:numPr>
        <w:spacing w:after="0" w:line="240" w:lineRule="auto"/>
        <w:rPr>
          <w:rFonts w:ascii="Poppins" w:hAnsi="Poppins" w:cs="Poppins"/>
          <w:sz w:val="22"/>
          <w:szCs w:val="22"/>
        </w:rPr>
      </w:pPr>
      <w:r>
        <w:rPr>
          <w:rFonts w:ascii="Poppins" w:hAnsi="Poppins"/>
          <w:sz w:val="22"/>
        </w:rPr>
        <w:t>Zachęcanie Brownie do zrozumienia i przestrzegania Przysięgi Girlguiding.</w:t>
      </w:r>
    </w:p>
    <w:p w14:paraId="10082110" w14:textId="77777777" w:rsidR="007816F9" w:rsidRPr="00C15C8D" w:rsidRDefault="007816F9" w:rsidP="00C15C8D">
      <w:pPr>
        <w:spacing w:after="0" w:line="240" w:lineRule="auto"/>
        <w:rPr>
          <w:rFonts w:ascii="Poppins" w:hAnsi="Poppins" w:cs="Poppins"/>
          <w:sz w:val="22"/>
          <w:szCs w:val="22"/>
        </w:rPr>
      </w:pPr>
    </w:p>
    <w:p w14:paraId="22E90BCD" w14:textId="15962F4C" w:rsidR="007816F9" w:rsidRPr="00C15C8D" w:rsidRDefault="007816F9" w:rsidP="00C15C8D">
      <w:pPr>
        <w:spacing w:after="0" w:line="240" w:lineRule="auto"/>
        <w:rPr>
          <w:rFonts w:ascii="Poppins" w:hAnsi="Poppins" w:cs="Poppins"/>
          <w:b/>
          <w:bCs/>
          <w:sz w:val="22"/>
          <w:szCs w:val="22"/>
        </w:rPr>
      </w:pPr>
      <w:r>
        <w:rPr>
          <w:rFonts w:ascii="Poppins" w:hAnsi="Poppins"/>
          <w:b/>
          <w:sz w:val="22"/>
        </w:rPr>
        <w:t>Przejście z Brownies do innej grupy</w:t>
      </w:r>
    </w:p>
    <w:p w14:paraId="617678A9" w14:textId="34837260" w:rsidR="007816F9" w:rsidRPr="00C15C8D" w:rsidRDefault="007816F9" w:rsidP="00C15C8D">
      <w:pPr>
        <w:spacing w:after="0" w:line="240" w:lineRule="auto"/>
        <w:rPr>
          <w:rFonts w:ascii="Poppins" w:hAnsi="Poppins" w:cs="Poppins"/>
          <w:sz w:val="22"/>
          <w:szCs w:val="22"/>
        </w:rPr>
      </w:pPr>
      <w:r>
        <w:rPr>
          <w:rFonts w:ascii="Poppins" w:hAnsi="Poppins"/>
          <w:sz w:val="22"/>
        </w:rPr>
        <w:t>Gdy Twoje dziecko ukończy 10 lat, może kontynuować swoją przygodę z Girlguiding w grupie Guides, dla dziewcząt w wieku od 10 do 14 lat. Kiedy nadejdzie czas, liderka Brownies przekaże wszystkie niezbędne informacje i pomoże Wam w płynnym przejściu.</w:t>
      </w:r>
    </w:p>
    <w:p w14:paraId="267AD977" w14:textId="77777777" w:rsidR="002A6332" w:rsidRPr="00C15C8D" w:rsidRDefault="002A6332" w:rsidP="00C15C8D">
      <w:pPr>
        <w:spacing w:after="0" w:line="240" w:lineRule="auto"/>
        <w:rPr>
          <w:rFonts w:ascii="Poppins" w:hAnsi="Poppins" w:cs="Poppins"/>
          <w:sz w:val="22"/>
          <w:szCs w:val="22"/>
        </w:rPr>
      </w:pPr>
    </w:p>
    <w:p w14:paraId="6412E61A" w14:textId="77777777" w:rsidR="001839F1" w:rsidRPr="00C15C8D" w:rsidRDefault="001839F1" w:rsidP="00C15C8D">
      <w:pPr>
        <w:spacing w:after="0" w:line="240" w:lineRule="auto"/>
        <w:rPr>
          <w:rFonts w:ascii="Poppins" w:hAnsi="Poppins" w:cs="Poppins"/>
          <w:sz w:val="22"/>
          <w:szCs w:val="22"/>
        </w:rPr>
      </w:pPr>
    </w:p>
    <w:sectPr w:rsidR="001839F1" w:rsidRPr="00C15C8D" w:rsidSect="00B419E1">
      <w:footerReference w:type="default" r:id="rId10"/>
      <w:headerReference w:type="first" r:id="rId11"/>
      <w:footerReference w:type="first" r:id="rId12"/>
      <w:pgSz w:w="11906" w:h="16838"/>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7E360" w14:textId="77777777" w:rsidR="00F450FE" w:rsidRDefault="00F450FE" w:rsidP="00EE5B24">
      <w:pPr>
        <w:spacing w:after="0" w:line="240" w:lineRule="auto"/>
      </w:pPr>
      <w:r>
        <w:separator/>
      </w:r>
    </w:p>
  </w:endnote>
  <w:endnote w:type="continuationSeparator" w:id="0">
    <w:p w14:paraId="2FECC8C6" w14:textId="77777777" w:rsidR="00F450FE" w:rsidRDefault="00F450FE" w:rsidP="00EE5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B0CC5" w14:textId="58EBD320" w:rsidR="00B419E1" w:rsidRDefault="00B419E1">
    <w:pPr>
      <w:pStyle w:val="Footer"/>
    </w:pPr>
    <w:r>
      <w:rPr>
        <w:noProof/>
      </w:rPr>
      <w:drawing>
        <wp:anchor distT="0" distB="0" distL="0" distR="0" simplePos="0" relativeHeight="251661312" behindDoc="0" locked="0" layoutInCell="1" allowOverlap="1" wp14:anchorId="6A0F5AB3" wp14:editId="7A5CDC3A">
          <wp:simplePos x="0" y="0"/>
          <wp:positionH relativeFrom="margin">
            <wp:align>center</wp:align>
          </wp:positionH>
          <wp:positionV relativeFrom="paragraph">
            <wp:posOffset>-45720</wp:posOffset>
          </wp:positionV>
          <wp:extent cx="6383913" cy="420370"/>
          <wp:effectExtent l="0" t="0" r="0" b="0"/>
          <wp:wrapNone/>
          <wp:docPr id="1092630592"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5A0D" w14:textId="10C96ED5" w:rsidR="00B419E1" w:rsidRDefault="00B419E1">
    <w:pPr>
      <w:pStyle w:val="Footer"/>
    </w:pPr>
    <w:r>
      <w:rPr>
        <w:noProof/>
      </w:rPr>
      <w:drawing>
        <wp:anchor distT="0" distB="0" distL="0" distR="0" simplePos="0" relativeHeight="251659264" behindDoc="0" locked="0" layoutInCell="1" allowOverlap="1" wp14:anchorId="1AAD9A07" wp14:editId="09BDFEFD">
          <wp:simplePos x="0" y="0"/>
          <wp:positionH relativeFrom="margin">
            <wp:align>center</wp:align>
          </wp:positionH>
          <wp:positionV relativeFrom="paragraph">
            <wp:posOffset>-15240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0B682" w14:textId="77777777" w:rsidR="00F450FE" w:rsidRDefault="00F450FE" w:rsidP="00EE5B24">
      <w:pPr>
        <w:spacing w:after="0" w:line="240" w:lineRule="auto"/>
      </w:pPr>
      <w:r>
        <w:separator/>
      </w:r>
    </w:p>
  </w:footnote>
  <w:footnote w:type="continuationSeparator" w:id="0">
    <w:p w14:paraId="4BE51028" w14:textId="77777777" w:rsidR="00F450FE" w:rsidRDefault="00F450FE" w:rsidP="00EE5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B19D" w14:textId="484016DC" w:rsidR="00B419E1" w:rsidRDefault="00B419E1">
    <w:pPr>
      <w:pStyle w:val="Header"/>
    </w:pPr>
    <w:r>
      <w:rPr>
        <w:rFonts w:ascii="Poppins" w:hAnsi="Poppins" w:cs="Poppins"/>
        <w:b/>
        <w:bCs/>
        <w:noProof/>
      </w:rPr>
      <w:drawing>
        <wp:anchor distT="0" distB="0" distL="114300" distR="114300" simplePos="0" relativeHeight="251663360" behindDoc="0" locked="0" layoutInCell="1" allowOverlap="1" wp14:anchorId="5DB9C246" wp14:editId="763EB8BE">
          <wp:simplePos x="0" y="0"/>
          <wp:positionH relativeFrom="margin">
            <wp:posOffset>-601980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F936E4"/>
    <w:multiLevelType w:val="hybridMultilevel"/>
    <w:tmpl w:val="23EEA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2"/>
  </w:num>
  <w:num w:numId="3" w16cid:durableId="477185661">
    <w:abstractNumId w:val="0"/>
  </w:num>
  <w:num w:numId="4" w16cid:durableId="2010936830">
    <w:abstractNumId w:val="4"/>
  </w:num>
  <w:num w:numId="5" w16cid:durableId="212703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F07D1D"/>
    <w:rsid w:val="00051E3B"/>
    <w:rsid w:val="001839F1"/>
    <w:rsid w:val="001A1AB4"/>
    <w:rsid w:val="002A6332"/>
    <w:rsid w:val="002C1FA2"/>
    <w:rsid w:val="002E5256"/>
    <w:rsid w:val="00362384"/>
    <w:rsid w:val="005B0A8D"/>
    <w:rsid w:val="005B61F4"/>
    <w:rsid w:val="007816F9"/>
    <w:rsid w:val="007B1390"/>
    <w:rsid w:val="0090522E"/>
    <w:rsid w:val="00B419E1"/>
    <w:rsid w:val="00B46837"/>
    <w:rsid w:val="00B66253"/>
    <w:rsid w:val="00C15C8D"/>
    <w:rsid w:val="00D755AC"/>
    <w:rsid w:val="00E1031B"/>
    <w:rsid w:val="00EE5B24"/>
    <w:rsid w:val="00F450FE"/>
    <w:rsid w:val="00F55F52"/>
    <w:rsid w:val="00FA489D"/>
    <w:rsid w:val="3FF07D1D"/>
    <w:rsid w:val="4EBCFED0"/>
    <w:rsid w:val="55514E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7D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l-PL"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C8D"/>
    <w:pPr>
      <w:spacing w:after="0" w:line="240" w:lineRule="auto"/>
    </w:pPr>
  </w:style>
  <w:style w:type="paragraph" w:styleId="ListParagraph">
    <w:name w:val="List Paragraph"/>
    <w:basedOn w:val="Normal"/>
    <w:uiPriority w:val="34"/>
    <w:qFormat/>
    <w:rsid w:val="00051E3B"/>
    <w:pPr>
      <w:ind w:left="720"/>
      <w:contextualSpacing/>
    </w:pPr>
  </w:style>
  <w:style w:type="paragraph" w:styleId="Header">
    <w:name w:val="header"/>
    <w:basedOn w:val="Normal"/>
    <w:link w:val="HeaderChar"/>
    <w:uiPriority w:val="99"/>
    <w:unhideWhenUsed/>
    <w:rsid w:val="00EE5B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5B24"/>
  </w:style>
  <w:style w:type="paragraph" w:styleId="Footer">
    <w:name w:val="footer"/>
    <w:basedOn w:val="Normal"/>
    <w:link w:val="FooterChar"/>
    <w:uiPriority w:val="99"/>
    <w:unhideWhenUsed/>
    <w:rsid w:val="00EE5B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8376032D-5DD6-4253-A90C-46498FE2C625}">
  <ds:schemaRefs>
    <ds:schemaRef ds:uri="http://schemas.microsoft.com/sharepoint/v3/contenttype/forms"/>
  </ds:schemaRefs>
</ds:datastoreItem>
</file>

<file path=customXml/itemProps2.xml><?xml version="1.0" encoding="utf-8"?>
<ds:datastoreItem xmlns:ds="http://schemas.openxmlformats.org/officeDocument/2006/customXml" ds:itemID="{E7B0AB44-7049-4EB4-985D-068E3E0A6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7EBE2-3865-488A-8940-487EFBC55523}">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3181</Characters>
  <Application>Microsoft Office Word</Application>
  <DocSecurity>0</DocSecurity>
  <Lines>64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2025-12-05T16:25:00Z</dcterms:created>
  <dcterms:modified xsi:type="dcterms:W3CDTF">2026-03-10T14:11:00Z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ies>
</file>